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i w:val="0"/>
          <w:caps w:val="0"/>
          <w:color w:val="333333"/>
          <w:spacing w:val="0"/>
          <w:sz w:val="40"/>
          <w:szCs w:val="40"/>
          <w:u w:val="none"/>
          <w:shd w:val="clear" w:fill="FEFEFE"/>
        </w:rPr>
      </w:pPr>
      <w:r>
        <w:rPr>
          <w:rFonts w:hint="eastAsia" w:ascii="楷体" w:hAnsi="楷体" w:eastAsia="楷体" w:cs="楷体"/>
          <w:b/>
          <w:bCs/>
          <w:i w:val="0"/>
          <w:caps w:val="0"/>
          <w:color w:val="333333"/>
          <w:spacing w:val="0"/>
          <w:sz w:val="40"/>
          <w:szCs w:val="40"/>
          <w:u w:val="none"/>
          <w:shd w:val="clear" w:fill="FEFEFE"/>
        </w:rPr>
        <w:t>福建省机关事业单位招考专业指导目录（2020年）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0"/>
          <w:sz w:val="24"/>
          <w:szCs w:val="24"/>
        </w:rPr>
      </w:pPr>
      <w:r>
        <w:rPr>
          <w:rFonts w:hint="eastAsia" w:ascii="宋体" w:hAnsi="宋体" w:eastAsia="宋体" w:cs="宋体"/>
          <w:b w:val="0"/>
          <w:i w:val="0"/>
          <w:caps w:val="0"/>
          <w:color w:val="000000"/>
          <w:spacing w:val="-10"/>
          <w:kern w:val="0"/>
          <w:sz w:val="24"/>
          <w:szCs w:val="24"/>
          <w:shd w:val="clear" w:fill="FEFEFE"/>
          <w:lang w:val="en-US" w:eastAsia="zh-CN" w:bidi="ar"/>
        </w:rPr>
        <w:t>为规范我省机关事业单位招考中的专业条件设置和审核工作，现</w:t>
      </w:r>
      <w:r>
        <w:rPr>
          <w:rFonts w:hint="eastAsia" w:ascii="宋体" w:hAnsi="宋体" w:eastAsia="宋体" w:cs="宋体"/>
          <w:b w:val="0"/>
          <w:i w:val="0"/>
          <w:caps w:val="0"/>
          <w:color w:val="000000"/>
          <w:spacing w:val="0"/>
          <w:kern w:val="0"/>
          <w:sz w:val="24"/>
          <w:szCs w:val="24"/>
          <w:shd w:val="clear" w:fill="FEFEFE"/>
          <w:lang w:val="en-US" w:eastAsia="zh-CN" w:bidi="ar"/>
        </w:rPr>
        <w:t>参考教育部颁布的高校专业目录，结合实际，制定并试行本专业指导目录。凡招考职（岗）位有专业要求的，同一职（岗）位应设置多个相关专业，鼓励按“类”设置专业条件；超出本目录以外的专业条件，可按管理权限经组织、人社行政部门同意后另行设置，并在招考职（岗）位表中列入。招考单位和主管部门应本着“</w:t>
      </w:r>
      <w:r>
        <w:rPr>
          <w:rFonts w:hint="eastAsia" w:ascii="宋体" w:hAnsi="宋体" w:eastAsia="宋体" w:cs="宋体"/>
          <w:b w:val="0"/>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人员所学专业未列在目录中的（包括高校自主设置的研究生专业、专业型研究生专业及取得海外学历学位的专业等），可根据高校专业设置的实际情况予以从宽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0"/>
          <w:sz w:val="24"/>
          <w:szCs w:val="24"/>
        </w:rPr>
      </w:pPr>
      <w:r>
        <w:rPr>
          <w:rFonts w:hint="eastAsia" w:ascii="宋体" w:hAnsi="宋体" w:eastAsia="宋体" w:cs="宋体"/>
          <w:b w:val="0"/>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若报考者与招考单位、招考主管部门对专业审核有异议的，报考者应提供所学专业主干课程以及所在院校相关证明材料供招考单位或招考主管部门审核参考。</w:t>
      </w:r>
      <w:r>
        <w:rPr>
          <w:rFonts w:hint="eastAsia" w:ascii="宋体" w:hAnsi="宋体" w:eastAsia="宋体" w:cs="宋体"/>
          <w:b w:val="0"/>
          <w:i w:val="0"/>
          <w:caps w:val="0"/>
          <w:color w:val="000000"/>
          <w:spacing w:val="0"/>
          <w:kern w:val="0"/>
          <w:sz w:val="24"/>
          <w:szCs w:val="24"/>
          <w:shd w:val="clear" w:fill="FEFEFE"/>
          <w:lang w:val="en-US" w:eastAsia="zh-CN" w:bidi="ar"/>
        </w:rPr>
        <w:t>报考者报考公务员时在报考过程中对专业资格审核结果有异议的，还可通过报名网站中的“申诉通道”申请复核。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r>
        <w:rPr>
          <w:rFonts w:hint="eastAsia" w:ascii="宋体" w:hAnsi="宋体" w:eastAsia="宋体" w:cs="宋体"/>
          <w:b w:val="0"/>
          <w:i w:val="0"/>
          <w:caps w:val="0"/>
          <w:color w:val="000000"/>
          <w:spacing w:val="0"/>
          <w:kern w:val="0"/>
          <w:sz w:val="24"/>
          <w:szCs w:val="24"/>
          <w:shd w:val="clear" w:fill="FEFEFE"/>
          <w:lang w:val="en-US" w:eastAsia="zh-CN" w:bidi="ar"/>
        </w:rPr>
        <w:t>本目录将根据形势的变化进行相应的调整，并</w:t>
      </w:r>
      <w:r>
        <w:rPr>
          <w:rFonts w:hint="eastAsia" w:ascii="宋体" w:hAnsi="宋体" w:eastAsia="宋体" w:cs="宋体"/>
          <w:b w:val="0"/>
          <w:i w:val="0"/>
          <w:caps w:val="0"/>
          <w:color w:val="000000"/>
          <w:spacing w:val="-10"/>
          <w:kern w:val="0"/>
          <w:sz w:val="24"/>
          <w:szCs w:val="24"/>
          <w:shd w:val="clear" w:fill="FEFEFE"/>
          <w:lang w:val="en-US" w:eastAsia="zh-CN" w:bidi="ar"/>
        </w:rPr>
        <w:t>由省级</w:t>
      </w:r>
      <w:r>
        <w:rPr>
          <w:rFonts w:hint="eastAsia" w:ascii="宋体" w:hAnsi="宋体" w:eastAsia="宋体" w:cs="宋体"/>
          <w:b w:val="0"/>
          <w:i w:val="0"/>
          <w:caps w:val="0"/>
          <w:color w:val="000000"/>
          <w:spacing w:val="0"/>
          <w:kern w:val="0"/>
          <w:sz w:val="24"/>
          <w:szCs w:val="24"/>
          <w:shd w:val="clear" w:fill="FEFEFE"/>
          <w:lang w:val="en-US" w:eastAsia="zh-CN" w:bidi="ar"/>
        </w:rPr>
        <w:t>组织、人社行政部门</w:t>
      </w:r>
      <w:r>
        <w:rPr>
          <w:rFonts w:hint="eastAsia" w:ascii="宋体" w:hAnsi="宋体" w:eastAsia="宋体" w:cs="宋体"/>
          <w:b w:val="0"/>
          <w:i w:val="0"/>
          <w:caps w:val="0"/>
          <w:color w:val="000000"/>
          <w:spacing w:val="-10"/>
          <w:kern w:val="0"/>
          <w:sz w:val="24"/>
          <w:szCs w:val="24"/>
          <w:shd w:val="clear" w:fill="FEFEFE"/>
          <w:lang w:val="en-US" w:eastAsia="zh-CN" w:bidi="ar"/>
        </w:rPr>
        <w:t>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shd w:val="clear" w:fill="FEFEFE"/>
          <w:lang w:val="en-US" w:eastAsia="zh-CN" w:bidi="ar"/>
        </w:rPr>
      </w:pPr>
    </w:p>
    <w:tbl>
      <w:tblPr>
        <w:tblStyle w:val="2"/>
        <w:tblW w:w="0" w:type="auto"/>
        <w:jc w:val="center"/>
        <w:shd w:val="clear" w:color="auto" w:fill="auto"/>
        <w:tblLayout w:type="fixed"/>
        <w:tblCellMar>
          <w:top w:w="0" w:type="dxa"/>
          <w:left w:w="0" w:type="dxa"/>
          <w:bottom w:w="0" w:type="dxa"/>
          <w:right w:w="0" w:type="dxa"/>
        </w:tblCellMar>
      </w:tblPr>
      <w:tblGrid>
        <w:gridCol w:w="12000"/>
      </w:tblGrid>
      <w:tr>
        <w:tblPrEx>
          <w:tblCellMar>
            <w:top w:w="0" w:type="dxa"/>
            <w:left w:w="0" w:type="dxa"/>
            <w:bottom w:w="0" w:type="dxa"/>
            <w:right w:w="0" w:type="dxa"/>
          </w:tblCellMar>
        </w:tblPrEx>
        <w:trPr>
          <w:jc w:val="center"/>
        </w:trPr>
        <w:tc>
          <w:tcPr>
            <w:tcW w:w="1200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kern w:val="0"/>
                <w:sz w:val="24"/>
                <w:szCs w:val="24"/>
                <w:lang w:val="en-US" w:eastAsia="zh-CN" w:bidi="ar"/>
              </w:rPr>
              <w:t>  </w:t>
            </w: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left"/>
              <w:rPr>
                <w:rFonts w:hint="eastAsia" w:ascii="宋体" w:hAnsi="宋体" w:eastAsia="宋体" w:cs="宋体"/>
                <w:kern w:val="0"/>
                <w:sz w:val="24"/>
                <w:szCs w:val="24"/>
                <w:lang w:val="en-US" w:eastAsia="zh-CN" w:bidi="ar"/>
              </w:rPr>
            </w:pPr>
            <w:r>
              <w:rPr>
                <w:rFonts w:hint="eastAsia" w:ascii="宋体" w:hAnsi="宋体" w:eastAsia="宋体" w:cs="宋体"/>
                <w:b w:val="0"/>
                <w:bCs w:val="0"/>
                <w:kern w:val="0"/>
                <w:sz w:val="24"/>
                <w:szCs w:val="24"/>
                <w:lang w:val="en-US" w:eastAsia="zh-CN" w:bidi="ar"/>
              </w:rPr>
              <w:t>2.</w:t>
            </w:r>
            <w:r>
              <w:rPr>
                <w:rFonts w:hint="eastAsia" w:ascii="宋体" w:hAnsi="宋体" w:eastAsia="宋体" w:cs="宋体"/>
                <w:b/>
                <w:bCs/>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21"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jc w:val="left"/>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21"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jc w:val="left"/>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1844" w:hRule="atLeast"/>
          <w:jc w:val="center"/>
        </w:trPr>
        <w:tc>
          <w:tcPr>
            <w:tcW w:w="12000" w:type="dxa"/>
            <w:tcBorders>
              <w:top w:val="nil"/>
              <w:left w:val="single" w:color="auto" w:sz="8" w:space="0"/>
              <w:bottom w:val="nil"/>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21" w:hRule="atLeast"/>
          <w:jc w:val="center"/>
        </w:trPr>
        <w:tc>
          <w:tcPr>
            <w:tcW w:w="12000"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2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1" w:lineRule="atLeast"/>
              <w:ind w:left="0" w:right="0" w:hanging="3"/>
              <w:jc w:val="left"/>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二、经济学、管理学大类</w:t>
            </w:r>
          </w:p>
        </w:tc>
      </w:tr>
      <w:tr>
        <w:tblPrEx>
          <w:tblCellMar>
            <w:top w:w="0" w:type="dxa"/>
            <w:left w:w="0" w:type="dxa"/>
            <w:bottom w:w="0" w:type="dxa"/>
            <w:right w:w="0" w:type="dxa"/>
          </w:tblCellMar>
        </w:tblPrEx>
        <w:trPr>
          <w:trHeight w:val="406"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119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jc w:val="left"/>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0" w:lineRule="atLeast"/>
              <w:ind w:left="0" w:right="0" w:hanging="3"/>
              <w:jc w:val="left"/>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223"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223" w:lineRule="atLeast"/>
              <w:ind w:left="0" w:right="0" w:hanging="3"/>
              <w:jc w:val="left"/>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 xml:space="preserve">图书馆学，档案(学)，信息资源管理，情报学，信息管理与信息系统，图书档案管理，图书情报硕士 </w:t>
            </w:r>
          </w:p>
        </w:tc>
      </w:tr>
      <w:tr>
        <w:tblPrEx>
          <w:tblCellMar>
            <w:top w:w="0" w:type="dxa"/>
            <w:left w:w="0" w:type="dxa"/>
            <w:bottom w:w="0" w:type="dxa"/>
            <w:right w:w="0" w:type="dxa"/>
          </w:tblCellMar>
        </w:tblPrEx>
        <w:trPr>
          <w:trHeight w:val="2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2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both"/>
              <w:rPr>
                <w:rFonts w:hint="eastAsia" w:ascii="宋体" w:hAnsi="宋体" w:eastAsia="宋体" w:cs="宋体"/>
                <w:b/>
                <w:kern w:val="0"/>
                <w:sz w:val="24"/>
                <w:szCs w:val="24"/>
                <w:lang w:val="en-US" w:eastAsia="zh-CN" w:bidi="ar"/>
              </w:rPr>
            </w:pPr>
            <w:r>
              <w:rPr>
                <w:rFonts w:hint="eastAsia" w:ascii="宋体" w:hAnsi="宋体" w:eastAsia="宋体" w:cs="宋体"/>
                <w:b w:val="0"/>
                <w:bCs/>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b w:val="0"/>
                <w:bCs/>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18" w:lineRule="atLeast"/>
              <w:ind w:left="0" w:right="0" w:hanging="3"/>
              <w:jc w:val="left"/>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0" w:type="dxa"/>
            <w:left w:w="0" w:type="dxa"/>
            <w:bottom w:w="0" w:type="dxa"/>
            <w:right w:w="0" w:type="dxa"/>
          </w:tblCellMar>
        </w:tblPrEx>
        <w:trPr>
          <w:trHeight w:val="331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spacing w:before="156" w:beforeLines="50" w:beforeAutospacing="0" w:after="0" w:afterAutospacing="0" w:line="300" w:lineRule="atLeast"/>
              <w:ind w:left="-6" w:right="0"/>
              <w:jc w:val="left"/>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167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162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44.</w:t>
            </w:r>
            <w:r>
              <w:rPr>
                <w:rFonts w:hint="eastAsia" w:ascii="宋体" w:hAnsi="宋体" w:eastAsia="宋体" w:cs="宋体"/>
                <w:b/>
                <w:bCs/>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536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36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w:t>
            </w:r>
            <w:r>
              <w:rPr>
                <w:rFonts w:hint="eastAsia" w:ascii="宋体" w:hAnsi="宋体" w:eastAsia="宋体" w:cs="宋体"/>
                <w:bCs/>
                <w:kern w:val="0"/>
                <w:sz w:val="24"/>
                <w:szCs w:val="24"/>
                <w:lang w:val="en-US" w:eastAsia="zh-CN" w:bidi="ar"/>
              </w:rPr>
              <w:t>应用电子技术教育，</w:t>
            </w:r>
            <w:r>
              <w:rPr>
                <w:rFonts w:hint="eastAsia" w:ascii="宋体" w:hAnsi="宋体" w:eastAsia="宋体" w:cs="宋体"/>
                <w:kern w:val="0"/>
                <w:sz w:val="24"/>
                <w:szCs w:val="24"/>
                <w:lang w:val="en-US" w:eastAsia="zh-CN" w:bidi="ar"/>
              </w:rPr>
              <w:t>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w:t>
            </w:r>
            <w:r>
              <w:rPr>
                <w:rFonts w:hint="eastAsia" w:ascii="宋体" w:hAnsi="宋体" w:eastAsia="宋体" w:cs="宋体"/>
                <w:bCs/>
                <w:kern w:val="0"/>
                <w:sz w:val="24"/>
                <w:szCs w:val="24"/>
                <w:lang w:val="en-US" w:eastAsia="zh-CN" w:bidi="ar"/>
              </w:rPr>
              <w:t>电波传播与天线，</w:t>
            </w:r>
            <w:r>
              <w:rPr>
                <w:rFonts w:hint="eastAsia" w:ascii="宋体" w:hAnsi="宋体" w:eastAsia="宋体" w:cs="宋体"/>
                <w:kern w:val="0"/>
                <w:sz w:val="24"/>
                <w:szCs w:val="24"/>
                <w:lang w:val="en-US" w:eastAsia="zh-CN" w:bidi="ar"/>
              </w:rPr>
              <w:t>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w:t>
            </w:r>
            <w:r>
              <w:rPr>
                <w:rFonts w:hint="eastAsia" w:ascii="宋体" w:hAnsi="宋体" w:eastAsia="宋体" w:cs="宋体"/>
                <w:bCs/>
                <w:kern w:val="0"/>
                <w:sz w:val="24"/>
                <w:szCs w:val="24"/>
                <w:lang w:val="en-US" w:eastAsia="zh-CN" w:bidi="ar"/>
              </w:rPr>
              <w:t>数据通信与因特网</w:t>
            </w:r>
          </w:p>
        </w:tc>
      </w:tr>
      <w:tr>
        <w:tblPrEx>
          <w:shd w:val="clear" w:color="auto" w:fill="auto"/>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 xml:space="preserve">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w:t>
            </w:r>
            <w:r>
              <w:rPr>
                <w:rFonts w:hint="eastAsia" w:ascii="宋体" w:hAnsi="宋体" w:eastAsia="宋体" w:cs="宋体"/>
                <w:b/>
                <w:bCs w:val="0"/>
                <w:kern w:val="0"/>
                <w:sz w:val="24"/>
                <w:szCs w:val="24"/>
                <w:lang w:val="en-US" w:eastAsia="zh-CN" w:bidi="ar"/>
              </w:rPr>
              <w:t>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53. </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w:t>
            </w:r>
            <w:r>
              <w:rPr>
                <w:rFonts w:hint="eastAsia" w:ascii="宋体" w:hAnsi="宋体" w:eastAsia="宋体" w:cs="宋体"/>
                <w:kern w:val="0"/>
                <w:sz w:val="24"/>
                <w:szCs w:val="24"/>
                <w:lang w:val="en-US" w:eastAsia="zh-CN" w:bidi="ar"/>
              </w:rPr>
              <w:t>，应用软件工程</w:t>
            </w:r>
            <w:r>
              <w:rPr>
                <w:rFonts w:hint="eastAsia" w:ascii="宋体" w:hAnsi="宋体" w:eastAsia="宋体" w:cs="宋体"/>
                <w:bCs/>
                <w:kern w:val="0"/>
                <w:sz w:val="24"/>
                <w:szCs w:val="24"/>
                <w:lang w:val="en-US" w:eastAsia="zh-CN" w:bidi="ar"/>
              </w:rPr>
              <w:t>，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54. </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w:t>
            </w:r>
            <w:r>
              <w:rPr>
                <w:rFonts w:hint="eastAsia" w:ascii="宋体" w:hAnsi="宋体" w:eastAsia="宋体" w:cs="宋体"/>
                <w:kern w:val="0"/>
                <w:sz w:val="24"/>
                <w:szCs w:val="24"/>
                <w:lang w:val="en-US" w:eastAsia="zh-CN" w:bidi="ar"/>
              </w:rPr>
              <w:t>，数据通信与因特网，物联网，</w:t>
            </w:r>
            <w:r>
              <w:rPr>
                <w:rFonts w:hint="eastAsia" w:ascii="宋体" w:hAnsi="宋体" w:eastAsia="宋体" w:cs="宋体"/>
                <w:bCs/>
                <w:kern w:val="0"/>
                <w:sz w:val="24"/>
                <w:szCs w:val="24"/>
                <w:lang w:val="en-US" w:eastAsia="zh-CN" w:bidi="ar"/>
              </w:rPr>
              <w:t>数据科学与大数据技术</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55. </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bCs/>
                <w:kern w:val="0"/>
                <w:sz w:val="24"/>
                <w:szCs w:val="24"/>
                <w:lang w:val="en-US" w:eastAsia="zh-CN" w:bidi="ar"/>
              </w:rPr>
              <w:t>数字媒体(技术)，计算机多媒体制作，</w:t>
            </w:r>
            <w:r>
              <w:rPr>
                <w:rFonts w:hint="eastAsia" w:ascii="宋体" w:hAnsi="宋体" w:eastAsia="宋体" w:cs="宋体"/>
                <w:kern w:val="0"/>
                <w:sz w:val="24"/>
                <w:szCs w:val="24"/>
                <w:lang w:val="en-US" w:eastAsia="zh-CN" w:bidi="ar"/>
              </w:rPr>
              <w:t>数字游戏设计，电脑游戏技术，影视艺术技术，</w:t>
            </w:r>
            <w:r>
              <w:rPr>
                <w:rFonts w:hint="eastAsia" w:ascii="宋体" w:hAnsi="宋体" w:eastAsia="宋体" w:cs="宋体"/>
                <w:bCs/>
                <w:kern w:val="0"/>
                <w:sz w:val="24"/>
                <w:szCs w:val="24"/>
                <w:lang w:val="en-US" w:eastAsia="zh-CN" w:bidi="ar"/>
              </w:rPr>
              <w:t>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w:t>
            </w:r>
            <w:r>
              <w:rPr>
                <w:rFonts w:hint="eastAsia" w:ascii="宋体" w:hAnsi="宋体" w:eastAsia="宋体" w:cs="宋体"/>
                <w:kern w:val="0"/>
                <w:sz w:val="24"/>
                <w:szCs w:val="24"/>
                <w:lang w:val="en-US" w:eastAsia="zh-CN" w:bidi="ar"/>
              </w:rPr>
              <w:t>多媒体资讯科技</w:t>
            </w:r>
            <w:r>
              <w:rPr>
                <w:rFonts w:hint="eastAsia" w:ascii="宋体" w:hAnsi="宋体" w:eastAsia="宋体" w:cs="宋体"/>
                <w:bCs/>
                <w:kern w:val="0"/>
                <w:sz w:val="24"/>
                <w:szCs w:val="24"/>
                <w:lang w:val="en-US" w:eastAsia="zh-CN" w:bidi="ar"/>
              </w:rPr>
              <w:t>，（计算机）游戏开发，动画</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bCs/>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w:t>
            </w:r>
            <w:r>
              <w:rPr>
                <w:rFonts w:hint="eastAsia" w:ascii="宋体" w:hAnsi="宋体" w:eastAsia="宋体" w:cs="宋体"/>
                <w:kern w:val="0"/>
                <w:sz w:val="24"/>
                <w:szCs w:val="24"/>
                <w:lang w:val="en-US" w:eastAsia="zh-CN" w:bidi="ar"/>
              </w:rPr>
              <w:t>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58. </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bCs/>
                <w:kern w:val="0"/>
                <w:sz w:val="24"/>
                <w:szCs w:val="24"/>
                <w:lang w:val="en-US" w:eastAsia="zh-CN" w:bidi="ar"/>
              </w:rPr>
              <w:t>办公自动化技术，</w:t>
            </w:r>
            <w:r>
              <w:rPr>
                <w:rFonts w:hint="eastAsia" w:ascii="宋体" w:hAnsi="宋体" w:eastAsia="宋体" w:cs="宋体"/>
                <w:kern w:val="0"/>
                <w:sz w:val="24"/>
                <w:szCs w:val="24"/>
                <w:lang w:val="en-US" w:eastAsia="zh-CN" w:bidi="ar"/>
              </w:rPr>
              <w:t>文秘与办公自动化（技术）</w:t>
            </w:r>
            <w:r>
              <w:rPr>
                <w:rFonts w:hint="eastAsia" w:ascii="宋体" w:hAnsi="宋体" w:eastAsia="宋体" w:cs="宋体"/>
                <w:bCs/>
                <w:kern w:val="0"/>
                <w:sz w:val="24"/>
                <w:szCs w:val="24"/>
                <w:lang w:val="en-US" w:eastAsia="zh-CN" w:bidi="ar"/>
              </w:rPr>
              <w:t>，空间信息与数字技术，</w:t>
            </w:r>
            <w:r>
              <w:rPr>
                <w:rFonts w:hint="eastAsia" w:ascii="宋体" w:hAnsi="宋体" w:eastAsia="宋体" w:cs="宋体"/>
                <w:kern w:val="0"/>
                <w:sz w:val="24"/>
                <w:szCs w:val="24"/>
                <w:lang w:val="en-US" w:eastAsia="zh-CN" w:bidi="ar"/>
              </w:rPr>
              <w:t>仿真科学与技术，</w:t>
            </w:r>
            <w:r>
              <w:rPr>
                <w:rFonts w:hint="eastAsia" w:ascii="宋体" w:hAnsi="宋体" w:eastAsia="宋体" w:cs="宋体"/>
                <w:bCs/>
                <w:kern w:val="0"/>
                <w:sz w:val="24"/>
                <w:szCs w:val="24"/>
                <w:lang w:val="en-US" w:eastAsia="zh-CN" w:bidi="ar"/>
              </w:rPr>
              <w:t>计算机与经济管理，地理信息系统，地图学与地理信息系统，地球信息系统，现代教育技术，电子商务，计算机办公自动化，</w:t>
            </w:r>
            <w:r>
              <w:rPr>
                <w:rFonts w:hint="eastAsia" w:ascii="宋体" w:hAnsi="宋体" w:eastAsia="宋体" w:cs="宋体"/>
                <w:kern w:val="0"/>
                <w:sz w:val="24"/>
                <w:szCs w:val="24"/>
                <w:lang w:val="en-US" w:eastAsia="zh-CN" w:bidi="ar"/>
              </w:rPr>
              <w:t>计算机音乐制作，</w:t>
            </w:r>
            <w:r>
              <w:rPr>
                <w:rFonts w:hint="eastAsia" w:ascii="宋体" w:hAnsi="宋体" w:eastAsia="宋体" w:cs="宋体"/>
                <w:bCs/>
                <w:kern w:val="0"/>
                <w:sz w:val="24"/>
                <w:szCs w:val="24"/>
                <w:lang w:val="en-US" w:eastAsia="zh-CN" w:bidi="ar"/>
              </w:rPr>
              <w:t>计算机办公应用（技术），航空计算机技术与应用，农业信息化，计算机信息与农业多功能性产业网络技术</w:t>
            </w:r>
          </w:p>
        </w:tc>
      </w:tr>
      <w:tr>
        <w:tblPrEx>
          <w:shd w:val="clear" w:color="auto" w:fill="auto"/>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59.</w:t>
            </w:r>
            <w:bookmarkStart w:id="0" w:name="_GoBack"/>
            <w:bookmarkEnd w:id="0"/>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99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68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62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347"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6"/>
              <w:jc w:val="left"/>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61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42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68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1703"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46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46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9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4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42" w:lineRule="atLeast"/>
              <w:ind w:left="0" w:right="0" w:hanging="3"/>
              <w:jc w:val="cente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4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42" w:lineRule="atLeast"/>
              <w:ind w:left="0" w:right="0" w:hanging="3"/>
              <w:jc w:val="left"/>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0" w:type="dxa"/>
            <w:left w:w="0" w:type="dxa"/>
            <w:bottom w:w="0" w:type="dxa"/>
            <w:right w:w="0" w:type="dxa"/>
          </w:tblCellMar>
        </w:tblPrEx>
        <w:trPr>
          <w:trHeight w:val="186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3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9" w:lineRule="atLeast"/>
              <w:ind w:left="0" w:right="0" w:hanging="3"/>
              <w:jc w:val="left"/>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458"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jc w:val="cente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302"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035"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966"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129"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129" w:lineRule="atLeast"/>
              <w:ind w:left="0" w:right="0" w:hanging="3"/>
              <w:jc w:val="left"/>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598"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540" w:hRule="atLeast"/>
          <w:jc w:val="center"/>
        </w:trPr>
        <w:tc>
          <w:tcPr>
            <w:tcW w:w="12000" w:type="dxa"/>
            <w:tcBorders>
              <w:top w:val="nil"/>
              <w:left w:val="single" w:color="auto" w:sz="8" w:space="0"/>
              <w:bottom w:val="single" w:color="auto" w:sz="8" w:space="0"/>
              <w:right w:val="single" w:color="auto" w:sz="8" w:space="0"/>
            </w:tcBorders>
            <w:shd w:val="clear" w:color="auto" w:fill="auto"/>
            <w:tcMar>
              <w:left w:w="108" w:type="dxa"/>
              <w:right w:w="108" w:type="dxa"/>
            </w:tcMar>
            <w:vAlign w:val="top"/>
          </w:tcPr>
          <w:p>
            <w:pPr>
              <w:keepNext w:val="0"/>
              <w:keepLines w:val="0"/>
              <w:widowControl/>
              <w:suppressLineNumbers w:val="0"/>
              <w:spacing w:before="0" w:beforeAutospacing="1" w:after="0" w:afterAutospacing="1" w:line="300" w:lineRule="atLeast"/>
              <w:ind w:left="0" w:right="0" w:hanging="3"/>
              <w:jc w:val="left"/>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pPr>
        <w:jc w:val="both"/>
        <w:rPr>
          <w:rFonts w:hint="eastAsia" w:ascii="楷体" w:hAnsi="楷体" w:eastAsia="楷体" w:cs="楷体"/>
          <w:b/>
          <w:bCs/>
          <w:i w:val="0"/>
          <w:caps w:val="0"/>
          <w:color w:val="333333"/>
          <w:spacing w:val="0"/>
          <w:sz w:val="40"/>
          <w:szCs w:val="40"/>
          <w:u w:val="none"/>
          <w:shd w:val="clear" w:fill="FEFEF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342D3"/>
    <w:rsid w:val="27B1547A"/>
    <w:rsid w:val="4AE342D3"/>
    <w:rsid w:val="4C6C1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064FBC"/>
      <w:u w:val="none"/>
    </w:rPr>
  </w:style>
  <w:style w:type="character" w:styleId="5">
    <w:name w:val="Hyperlink"/>
    <w:basedOn w:val="3"/>
    <w:qFormat/>
    <w:uiPriority w:val="0"/>
    <w:rPr>
      <w:color w:val="064FBC"/>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2020-06-05T00:04:00Z</dcterms:created>
  <dc:creator>张以锋。</dc:creator>
  <cp:lastModifiedBy>张以锋。</cp:lastModifiedBy>
  <dcterms:modified xsi:type="dcterms:W3CDTF">2020-06-05T00:32:40Z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