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40" w:leftChars="0" w:right="0" w:rightChars="0" w:hanging="640" w:hangingChars="20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  <w:lang w:eastAsia="zh-CN"/>
        </w:rPr>
        <w:t>汝阳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县20</w:t>
      </w:r>
      <w:r>
        <w:rPr>
          <w:rFonts w:hint="eastAsia" w:ascii="Times New Roman" w:hAnsi="Times New Roman" w:eastAsia="方正小标宋简体" w:cs="Times New Roman"/>
          <w:color w:val="000000"/>
          <w:sz w:val="36"/>
          <w:szCs w:val="36"/>
          <w:lang w:val="en-US" w:eastAsia="zh-CN"/>
        </w:rPr>
        <w:t>20</w:t>
      </w:r>
      <w:r>
        <w:rPr>
          <w:rFonts w:hint="default" w:ascii="Times New Roman" w:hAnsi="Times New Roman" w:eastAsia="方正小标宋简体" w:cs="Times New Roman"/>
          <w:color w:val="000000"/>
          <w:sz w:val="36"/>
          <w:szCs w:val="36"/>
        </w:rPr>
        <w:t>年引进研究生学历人才计划表</w:t>
      </w:r>
      <w:bookmarkEnd w:id="0"/>
    </w:p>
    <w:tbl>
      <w:tblPr>
        <w:tblStyle w:val="2"/>
        <w:tblpPr w:leftFromText="180" w:rightFromText="180" w:vertAnchor="text" w:horzAnchor="page" w:tblpXSpec="center" w:tblpY="379"/>
        <w:tblOverlap w:val="never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6815"/>
        <w:gridCol w:w="97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  <w:t>代码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  <w:t>专业范围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  <w:t>引进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黑体" w:cs="Times New Roman"/>
                <w:b/>
                <w:bCs/>
                <w:color w:val="000000"/>
                <w:sz w:val="21"/>
                <w:szCs w:val="21"/>
                <w:lang w:eastAsia="zh-CN"/>
              </w:rPr>
              <w:t>人数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-25" w:rightChars="-12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2001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马克思主义基本原理、马克思主义发展史、马克思主义中国化研究、思想政治教育、中共党史、马克思主义哲学</w:t>
            </w:r>
            <w:r>
              <w:rPr>
                <w:rStyle w:val="5"/>
                <w:lang w:val="en-US" w:eastAsia="zh-CN" w:bidi="ar"/>
              </w:rPr>
              <w:t>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2002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财政学、产业经济学、国民经济学、金融学、审计、世界经济、应用统计等相关专业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2003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法律、民商法学、讼诉法学、经济法学、宪法学与行政法学等相关专业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2004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中国语言文学、汉语言文字学、中国当代文学、语言学及应用语言学等相关专业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2005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新闻与传播、广播电视、传播学、新闻学、新闻传播学、美术学、艺术学、舞蹈学、图书馆学、旅游管理、考古学及博物馆、文物与博物馆等相关专业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2006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计算机软件与理论、计算机科学技术、计算机应用技术、</w:t>
            </w:r>
            <w:r>
              <w:rPr>
                <w:rStyle w:val="6"/>
                <w:color w:val="000000"/>
                <w:u w:val="none"/>
                <w:lang w:val="en-US" w:eastAsia="zh-CN" w:bidi="ar"/>
              </w:rPr>
              <w:t>信息与通信工程、电子与通信工程、</w:t>
            </w:r>
            <w:r>
              <w:rPr>
                <w:rStyle w:val="5"/>
                <w:color w:val="000000"/>
                <w:u w:val="none"/>
                <w:lang w:val="en-US" w:eastAsia="zh-CN" w:bidi="ar"/>
              </w:rPr>
              <w:t>网络空间安全等相关专业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2007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材料学、材料科学与工程、药学、地质学等相关专业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2008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食品科学与工程、食品科学、粮食油脂及植物蛋白工程、农产品加工及贮藏工程、水产品加工及贮藏工程、城市规划与设计、城市规划、土木工程、市政工程、建筑与土木工程、交通运输规划与管理、防灾减灾工程及防护工程、地质工程、项目管理、测绘工程、水利工程、水利水电工程、测绘工程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2009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畜牧学、兽医学、水产、作物、园艺、农业资源利用、植物保护、养殖、渔业、农业机械化、农村与区域发展、农业科技组织与服务、农业信息化、食品加工与安全、设施农业、种业、风景园林、风景园林学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 xml:space="preserve">2010    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会计、会计学、企业管理、工商管理、行政管理等相关专业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95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2011</w:t>
            </w:r>
          </w:p>
        </w:tc>
        <w:tc>
          <w:tcPr>
            <w:tcW w:w="68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环境科学、环境工程、环境科学与工程等相关专业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  <w:jc w:val="center"/>
        </w:trPr>
        <w:tc>
          <w:tcPr>
            <w:tcW w:w="776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黑体" w:hAnsi="黑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sz w:val="21"/>
                <w:szCs w:val="21"/>
                <w:lang w:val="en-US" w:eastAsia="zh-CN"/>
              </w:rPr>
              <w:t>合       计</w:t>
            </w:r>
          </w:p>
        </w:tc>
        <w:tc>
          <w:tcPr>
            <w:tcW w:w="97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21"/>
          <w:szCs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2F0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font11"/>
    <w:basedOn w:val="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6">
    <w:name w:val="font01"/>
    <w:basedOn w:val="3"/>
    <w:qFormat/>
    <w:uiPriority w:val="0"/>
    <w:rPr>
      <w:rFonts w:hint="eastAsia" w:ascii="黑体" w:hAnsi="宋体" w:eastAsia="黑体" w:cs="黑体"/>
      <w:color w:val="FF0000"/>
      <w:sz w:val="20"/>
      <w:szCs w:val="2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2020-06-23T03:46:11Z</dcterms:created>
  <dc:creator>Administrator</dc:creator>
  <cp:lastModifiedBy>时光.未眠</cp:lastModifiedBy>
  <dcterms:modified xsi:type="dcterms:W3CDTF">2020-06-23T03:46:30Z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