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jc w:val="both"/>
        <w:rPr>
          <w:rFonts w:ascii="黑体" w:hAnsi="黑体" w:eastAsia="黑体"/>
          <w:kern w:val="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kern w:val="2"/>
          <w:szCs w:val="32"/>
        </w:rPr>
        <w:t>附件2</w:t>
      </w:r>
    </w:p>
    <w:p>
      <w:pPr>
        <w:widowControl w:val="0"/>
        <w:jc w:val="both"/>
        <w:rPr>
          <w:rFonts w:ascii="方正小标宋简体" w:hAnsi="宋体" w:eastAsia="方正小标宋简体" w:cs="宋体"/>
          <w:sz w:val="44"/>
          <w:szCs w:val="44"/>
        </w:rPr>
      </w:pPr>
    </w:p>
    <w:p>
      <w:pPr>
        <w:widowControl w:val="0"/>
        <w:spacing w:line="600" w:lineRule="exact"/>
        <w:jc w:val="both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hAnsi="宋体" w:eastAsia="方正小标宋简体" w:cs="宋体"/>
          <w:sz w:val="44"/>
          <w:szCs w:val="44"/>
        </w:rPr>
        <w:t>事业单位公开招聘工作人员考试（笔试）大纲</w:t>
      </w:r>
    </w:p>
    <w:p>
      <w:pPr>
        <w:widowControl w:val="0"/>
        <w:spacing w:line="560" w:lineRule="exact"/>
        <w:ind w:firstLine="643" w:firstLineChars="200"/>
        <w:jc w:val="center"/>
        <w:rPr>
          <w:rFonts w:ascii="黑体" w:hAnsi="黑体" w:eastAsia="黑体" w:cs="黑体"/>
          <w:b/>
          <w:szCs w:val="32"/>
        </w:rPr>
      </w:pPr>
    </w:p>
    <w:p>
      <w:pPr>
        <w:widowControl w:val="0"/>
        <w:spacing w:line="560" w:lineRule="exact"/>
        <w:ind w:firstLine="723" w:firstLineChars="200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《职业能力倾向测验》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《职业能力倾向测验》总分100分，考试时间90分钟，全部为客观试题，题型均为单项选择题。考试内容主要包括：数量关系、言语理解与表达、判断推理、常识判断、资料分析五个部分。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第一部分：数量关系。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数据的分析、运算，解决数量关系的能力。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第二部分：言语理解与表达。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一、字、词准确含义的掌握与运用能力。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二、各类语句的准确表达方式的掌握与运用能力。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三、短文材料的概括能力，细节的理解与分析判断能力。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第三部分：判断推理。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一、二维图形和空间关系准确识别及推理的能力。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二、概念和标准的分析、判断能力。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三、推理、演绎、归纳等逻辑思维的综合运用能力。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第四部分：常识判断。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社会、历史、文学、天文、地理、军事等方面的基本知识及其运用能力。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第五部分：资料分析。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文字、图形、表格等资料的综合理解和分析加工能力。</w:t>
      </w:r>
    </w:p>
    <w:p>
      <w:pPr>
        <w:widowControl w:val="0"/>
        <w:spacing w:line="560" w:lineRule="exact"/>
        <w:ind w:firstLine="640" w:firstLineChars="200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仿宋_GB2312" w:hAnsi="仿宋_GB2312" w:cs="仿宋_GB2312"/>
          <w:szCs w:val="32"/>
        </w:rPr>
        <w:br w:type="page"/>
      </w:r>
      <w:r>
        <w:rPr>
          <w:rFonts w:hint="eastAsia" w:ascii="黑体" w:hAnsi="黑体" w:eastAsia="黑体" w:cs="黑体"/>
          <w:b/>
          <w:sz w:val="36"/>
          <w:szCs w:val="36"/>
        </w:rPr>
        <w:t>《公共基础知识》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《公共基础知识》总分100分，考试时间90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第一部分：法律基础。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法的一般原理、法的制定与实施。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二、宪法性法律、行政法、民法、刑法、社会法、经济法等的基本概念和基本原则。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三、宪法性法律、行政法、民法、刑法、社会法、经济法等的法律关系、法律行为和适用范围等。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四、常见犯罪种类、特点与刑罚种类、裁量。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五、合同的订立、生效、履行、变更、终止和解除。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第二部分：中国特色社会主义理论。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第三部分：马克思主义哲学。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color w:val="FF0000"/>
          <w:szCs w:val="32"/>
        </w:rPr>
      </w:pPr>
      <w:r>
        <w:rPr>
          <w:rFonts w:hint="eastAsia" w:ascii="仿宋_GB2312" w:hAnsi="仿宋_GB2312" w:cs="仿宋_GB2312"/>
          <w:szCs w:val="32"/>
        </w:rPr>
        <w:t>马克思主义哲学的主要内容及基本观点。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第四部分：应用文写作。</w:t>
      </w:r>
    </w:p>
    <w:p>
      <w:pPr>
        <w:widowControl w:val="0"/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应用文含义、特点、种类、作用、格式规范。</w:t>
      </w:r>
    </w:p>
    <w:p>
      <w:pPr>
        <w:widowControl w:val="0"/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二、法定公文的分类、构成要素、写作要求以及常用公文的撰写。</w:t>
      </w:r>
    </w:p>
    <w:p>
      <w:pPr>
        <w:widowControl w:val="0"/>
        <w:spacing w:line="560" w:lineRule="exact"/>
        <w:ind w:left="640" w:left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三、公文处理的概念、基本任务、基本原则，收文、发文处理的程序和方法，办毕公文的处置。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第五部分：经济与管理。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经济学的基本常识、基础理论及运用。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二、</w:t>
      </w:r>
      <w:r>
        <w:rPr>
          <w:rFonts w:hint="eastAsia" w:ascii="仿宋_GB2312" w:hAnsi="仿宋_GB2312" w:cs="仿宋_GB2312"/>
          <w:szCs w:val="32"/>
        </w:rPr>
        <w:t>管理学的基本常识、基础理论及运用。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第六部分：公民道德建设。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一、公民道德建设的指导思想、方针原则及主要内容。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二、社会主义核心价值观的概念、内涵及基本原则。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第七部分：科技基础知识。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信息科学、生物技术、能源科学、空间技术、农业高科技等新技术的基本特点、作用及发展趋势。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第八部分：省情市情。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四川省和成都市的历史文化、人口与民族、区域经济、地理位置、地形地貌、气候特点。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b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第九部分：时事政治。</w:t>
      </w:r>
    </w:p>
    <w:p>
      <w:pPr>
        <w:widowControl w:val="0"/>
        <w:spacing w:line="560" w:lineRule="exact"/>
        <w:ind w:firstLine="643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b/>
          <w:szCs w:val="32"/>
        </w:rPr>
        <w:t>一、</w:t>
      </w:r>
      <w:r>
        <w:rPr>
          <w:rFonts w:hint="eastAsia" w:ascii="仿宋_GB2312" w:hAnsi="仿宋_GB2312" w:cs="仿宋_GB2312"/>
          <w:szCs w:val="32"/>
        </w:rPr>
        <w:t>一年来国际、国内发生的重大事件。</w:t>
      </w:r>
    </w:p>
    <w:p>
      <w:pPr>
        <w:widowControl w:val="0"/>
        <w:spacing w:line="56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二、国家、四川省、成都市近期出台的重大决策。</w:t>
      </w:r>
    </w:p>
    <w:p>
      <w:pPr>
        <w:widowControl w:val="0"/>
        <w:spacing w:line="600" w:lineRule="exact"/>
        <w:rPr>
          <w:rFonts w:ascii="仿宋_GB2312" w:hAnsi="仿宋_GB2312" w:cs="仿宋_GB2312"/>
          <w:szCs w:val="32"/>
        </w:rPr>
      </w:pPr>
    </w:p>
    <w:p/>
    <w:sectPr>
      <w:headerReference r:id="rId3" w:type="default"/>
      <w:pgSz w:w="11906" w:h="16838"/>
      <w:pgMar w:top="2154" w:right="1531" w:bottom="2041" w:left="1531" w:header="1134" w:footer="992" w:gutter="0"/>
      <w:pgNumType w:fmt="numberInDash"/>
      <w:cols w:space="0" w:num="1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300" w:lineRule="exact"/>
      <w:rPr>
        <w:rFonts w:ascii="楷体" w:hAnsi="楷体" w:eastAsia="楷体" w:cs="楷体"/>
        <w:color w:val="7F7F7F" w:themeColor="background1" w:themeShade="80"/>
      </w:rPr>
    </w:pPr>
    <w:r>
      <w:rPr>
        <w:rFonts w:hint="eastAsia" w:ascii="楷体" w:hAnsi="楷体" w:eastAsia="楷体" w:cs="楷体"/>
        <w:color w:val="7F7F7F" w:themeColor="background1" w:themeShade="80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AFD"/>
    <w:rsid w:val="00570AFD"/>
    <w:rsid w:val="00712A43"/>
    <w:rsid w:val="00DE76B2"/>
    <w:rsid w:val="00F571FB"/>
    <w:rsid w:val="1AB159E0"/>
    <w:rsid w:val="63D2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仿宋_GB2312" w:cs="Times New Roman"/>
      <w:kern w:val="0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</Words>
  <Characters>957</Characters>
  <Lines>7</Lines>
  <Paragraphs>2</Paragraphs>
  <TotalTime>0</TotalTime>
  <ScaleCrop>false</ScaleCrop>
  <LinksUpToDate>false</LinksUpToDate>
  <CharactersWithSpaces>1122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2020-05-18T01:25:00Z</dcterms:created>
  <dc:creator>市局办公室文秘</dc:creator>
  <cp:lastModifiedBy>ぺ灬cc果冻ル</cp:lastModifiedBy>
  <dcterms:modified xsi:type="dcterms:W3CDTF">2020-05-21T09:09:15Z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