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60" w:lineRule="exact"/>
        <w:ind w:right="150"/>
        <w:jc w:val="both"/>
        <w:outlineLvl w:val="5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28"/>
          <w:szCs w:val="28"/>
        </w:rPr>
        <w:t>附表1：</w:t>
      </w:r>
    </w:p>
    <w:p>
      <w:pPr>
        <w:widowControl/>
        <w:spacing w:line="560" w:lineRule="exact"/>
        <w:jc w:val="center"/>
        <w:rPr>
          <w:rFonts w:hint="eastAsia" w:ascii="仿宋_GB2312" w:hAnsi="新宋体" w:eastAsia="仿宋_GB2312" w:cs="宋体"/>
          <w:b/>
          <w:color w:val="000000"/>
          <w:kern w:val="0"/>
          <w:sz w:val="36"/>
          <w:szCs w:val="36"/>
        </w:rPr>
      </w:pPr>
      <w:r>
        <w:rPr>
          <w:rFonts w:hint="eastAsia" w:ascii="仿宋_GB2312" w:hAnsi="新宋体" w:eastAsia="仿宋_GB2312" w:cs="宋体"/>
          <w:b/>
          <w:color w:val="000000"/>
          <w:kern w:val="0"/>
          <w:sz w:val="36"/>
          <w:szCs w:val="36"/>
        </w:rPr>
        <w:t>20</w:t>
      </w:r>
      <w:r>
        <w:rPr>
          <w:rFonts w:hint="eastAsia" w:ascii="仿宋_GB2312" w:hAnsi="新宋体" w:eastAsia="仿宋_GB2312" w:cs="宋体"/>
          <w:b/>
          <w:color w:val="000000"/>
          <w:kern w:val="0"/>
          <w:sz w:val="36"/>
          <w:szCs w:val="36"/>
          <w:lang w:val="en-US" w:eastAsia="zh-CN"/>
        </w:rPr>
        <w:t>20</w:t>
      </w:r>
      <w:r>
        <w:rPr>
          <w:rFonts w:hint="eastAsia" w:ascii="仿宋_GB2312" w:hAnsi="新宋体" w:eastAsia="仿宋_GB2312" w:cs="宋体"/>
          <w:b/>
          <w:color w:val="000000"/>
          <w:kern w:val="0"/>
          <w:sz w:val="36"/>
          <w:szCs w:val="36"/>
        </w:rPr>
        <w:t>年海口市第三人民医院</w:t>
      </w:r>
      <w:r>
        <w:rPr>
          <w:rFonts w:hint="eastAsia" w:ascii="仿宋_GB2312" w:hAnsi="新宋体" w:eastAsia="仿宋_GB2312" w:cs="宋体"/>
          <w:b/>
          <w:color w:val="000000"/>
          <w:kern w:val="0"/>
          <w:sz w:val="36"/>
          <w:szCs w:val="36"/>
          <w:lang w:eastAsia="zh-CN"/>
        </w:rPr>
        <w:t>全球人才</w:t>
      </w:r>
      <w:r>
        <w:rPr>
          <w:rFonts w:hint="eastAsia" w:ascii="仿宋_GB2312" w:hAnsi="新宋体" w:eastAsia="仿宋_GB2312" w:cs="宋体"/>
          <w:b/>
          <w:color w:val="000000"/>
          <w:kern w:val="0"/>
          <w:sz w:val="36"/>
          <w:szCs w:val="36"/>
        </w:rPr>
        <w:t>招聘岗位信息表</w:t>
      </w:r>
    </w:p>
    <w:tbl>
      <w:tblPr>
        <w:tblStyle w:val="3"/>
        <w:tblpPr w:leftFromText="180" w:rightFromText="180" w:vertAnchor="text" w:horzAnchor="margin" w:tblpXSpec="center" w:tblpY="286"/>
        <w:tblW w:w="1018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832"/>
        <w:gridCol w:w="720"/>
        <w:gridCol w:w="831"/>
        <w:gridCol w:w="1095"/>
        <w:gridCol w:w="1110"/>
        <w:gridCol w:w="1230"/>
        <w:gridCol w:w="2460"/>
        <w:gridCol w:w="137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0" w:hRule="atLeast"/>
        </w:trPr>
        <w:tc>
          <w:tcPr>
            <w:tcW w:w="536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832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招聘岗位</w:t>
            </w:r>
          </w:p>
        </w:tc>
        <w:tc>
          <w:tcPr>
            <w:tcW w:w="72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招聘职数</w:t>
            </w:r>
          </w:p>
        </w:tc>
        <w:tc>
          <w:tcPr>
            <w:tcW w:w="831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eastAsia="zh-CN"/>
              </w:rPr>
              <w:t>年龄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学历/学位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专业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职称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岗位要求</w:t>
            </w:r>
          </w:p>
        </w:tc>
        <w:tc>
          <w:tcPr>
            <w:tcW w:w="1374" w:type="dxa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eastAsia="zh-CN"/>
              </w:rPr>
              <w:t>薪酬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3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介入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学科带头人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1.博士研究生;2.有相应学历的学位证书；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246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有《医师资格证书》和《医师执业证书》，有三级甲等医院从事本专业岗位5年以上工作经验。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年薪50－80万元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3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妇产科学科带头人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1.硕士或博士研究生;2.有相应学历的学位证书；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有《医师资格证书》和《医师执业证书》，熟练掌握妇产科微创手术技术，有三级甲等医院从事本专业岗位5年以上工作经验。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年薪30－50万元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3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病理科学科带头人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1.硕士或博士研究生;2.有相应学历的学位证书；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病理学、病理生理学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副主任医师及以上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有《医师资格证书》和《医师执业证书》，有三级甲等医院从事本专业岗位5年以上工作经验。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年薪30－50万元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[备注]：年龄45周岁以下，即1975年3月1日（含）以后出生。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8C026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2020-03-31T09:36:54Z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