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4" w:beforeAutospacing="0" w:after="20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卫生专业技术资格考试专业目录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4" w:beforeAutospacing="0" w:after="20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一、初级（士）考试专业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0"/>
        <w:gridCol w:w="3408"/>
        <w:gridCol w:w="157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sz w:val="32"/>
                <w:szCs w:val="32"/>
                <w:bdr w:val="none" w:color="auto" w:sz="0" w:space="0"/>
              </w:rPr>
              <w:t>专业代码</w:t>
            </w:r>
          </w:p>
        </w:tc>
        <w:tc>
          <w:tcPr>
            <w:tcW w:w="34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2"/>
                <w:szCs w:val="32"/>
                <w:bdr w:val="none" w:color="auto" w:sz="0" w:space="0"/>
              </w:rPr>
              <w:t>专</w:t>
            </w:r>
            <w:r>
              <w:rPr>
                <w:bdr w:val="none" w:color="auto" w:sz="0" w:space="0"/>
              </w:rPr>
              <w:t> </w:t>
            </w:r>
            <w:r>
              <w:rPr>
                <w:rFonts w:hint="eastAsia" w:ascii="黑体" w:hAnsi="宋体" w:eastAsia="黑体" w:cs="黑体"/>
                <w:sz w:val="32"/>
                <w:szCs w:val="32"/>
                <w:bdr w:val="none" w:color="auto" w:sz="0" w:space="0"/>
              </w:rPr>
              <w:t>业</w:t>
            </w:r>
            <w:r>
              <w:rPr>
                <w:bdr w:val="none" w:color="auto" w:sz="0" w:space="0"/>
              </w:rPr>
              <w:t> </w:t>
            </w:r>
            <w:r>
              <w:rPr>
                <w:rFonts w:hint="eastAsia" w:ascii="黑体" w:hAnsi="宋体" w:eastAsia="黑体" w:cs="黑体"/>
                <w:sz w:val="32"/>
                <w:szCs w:val="32"/>
                <w:bdr w:val="none" w:color="auto" w:sz="0" w:space="0"/>
              </w:rPr>
              <w:t>名</w:t>
            </w:r>
            <w:r>
              <w:rPr>
                <w:bdr w:val="none" w:color="auto" w:sz="0" w:space="0"/>
              </w:rPr>
              <w:t> </w:t>
            </w:r>
            <w:r>
              <w:rPr>
                <w:rFonts w:hint="eastAsia" w:ascii="黑体" w:hAnsi="宋体" w:eastAsia="黑体" w:cs="黑体"/>
                <w:sz w:val="32"/>
                <w:szCs w:val="32"/>
                <w:bdr w:val="none" w:color="auto" w:sz="0" w:space="0"/>
              </w:rPr>
              <w:t>称</w:t>
            </w:r>
          </w:p>
        </w:tc>
        <w:tc>
          <w:tcPr>
            <w:tcW w:w="15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2"/>
                <w:szCs w:val="32"/>
                <w:bdr w:val="none" w:color="auto" w:sz="0" w:space="0"/>
              </w:rPr>
              <w:t>考试方式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sz w:val="32"/>
                <w:szCs w:val="32"/>
                <w:bdr w:val="none" w:color="auto" w:sz="0" w:space="0"/>
              </w:rPr>
              <w:t>101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药学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102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中药学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103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口腔医学技术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104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放射医学技术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105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临床医学检验技术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106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病理学技术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107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康复医学治疗技术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108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营养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109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卫生检验技术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110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病案信息技术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4" w:beforeAutospacing="0" w:after="204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二、初级（师）考试专业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0"/>
        <w:gridCol w:w="3408"/>
        <w:gridCol w:w="15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  <w:jc w:val="center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专业代码</w:t>
            </w:r>
          </w:p>
        </w:tc>
        <w:tc>
          <w:tcPr>
            <w:tcW w:w="34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专</w:t>
            </w:r>
            <w:r>
              <w:rPr>
                <w:b/>
                <w:bdr w:val="none" w:color="auto" w:sz="0" w:space="0"/>
              </w:rPr>
              <w:t> </w:t>
            </w: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业</w:t>
            </w:r>
            <w:r>
              <w:rPr>
                <w:b/>
                <w:bdr w:val="none" w:color="auto" w:sz="0" w:space="0"/>
              </w:rPr>
              <w:t> </w:t>
            </w: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名</w:t>
            </w:r>
            <w:r>
              <w:rPr>
                <w:b/>
                <w:bdr w:val="none" w:color="auto" w:sz="0" w:space="0"/>
              </w:rPr>
              <w:t> </w:t>
            </w: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称</w:t>
            </w:r>
          </w:p>
        </w:tc>
        <w:tc>
          <w:tcPr>
            <w:tcW w:w="15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考试方式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201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药学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202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中药学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203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护理学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纸笔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204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中医护理学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205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口腔医学技术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206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放射医学技术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207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临床医学检验技术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208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病理学技术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209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康复医学治疗技术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210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营养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211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卫生检验技术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212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心理治疗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213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病案信息技术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214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输血技术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215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神经电生理（脑电图）技术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4" w:beforeAutospacing="0" w:after="204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三、中级考试专业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2"/>
        <w:gridCol w:w="3408"/>
        <w:gridCol w:w="15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  <w:jc w:val="center"/>
        </w:trPr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专业代码</w:t>
            </w:r>
          </w:p>
        </w:tc>
        <w:tc>
          <w:tcPr>
            <w:tcW w:w="34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专</w:t>
            </w:r>
            <w:r>
              <w:rPr>
                <w:b/>
                <w:bdr w:val="none" w:color="auto" w:sz="0" w:space="0"/>
              </w:rPr>
              <w:t> </w:t>
            </w: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业</w:t>
            </w:r>
            <w:r>
              <w:rPr>
                <w:b/>
                <w:bdr w:val="none" w:color="auto" w:sz="0" w:space="0"/>
              </w:rPr>
              <w:t> </w:t>
            </w: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名</w:t>
            </w:r>
            <w:r>
              <w:rPr>
                <w:b/>
                <w:bdr w:val="none" w:color="auto" w:sz="0" w:space="0"/>
              </w:rPr>
              <w:t> </w:t>
            </w: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称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sz w:val="32"/>
                <w:szCs w:val="32"/>
                <w:bdr w:val="none" w:color="auto" w:sz="0" w:space="0"/>
              </w:rPr>
              <w:t>考试方式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301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全科医学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302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全科医学（中医类）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303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304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心血管内科学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305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呼吸内科学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306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消化内科学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307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肾内科学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308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神经内科学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309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内分泌学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310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血液病学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311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结核病学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312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传染病学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313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风湿与临床免疫学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314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职业病学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315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316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中西医结合内科学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317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普通外科学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318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骨外科学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319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胸心外科学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320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神经外科学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321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泌尿外科学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322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小儿外科学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323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烧伤外科学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324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整形外科学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325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326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中西医结合外科学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327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中医肛肠科学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328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中医骨伤学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329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中西医结合骨伤科学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330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妇产科学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331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中医妇科学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332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儿科学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333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中医儿科学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334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眼科学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335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中医眼科学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336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耳鼻咽喉科学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337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中医耳鼻喉科学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338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皮肤与性病学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339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中医皮肤与性病学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340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精神病学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341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肿瘤内科学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342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肿瘤外科学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343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肿瘤放射治疗学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344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放射医学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345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核医学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346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超声波医学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347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麻醉学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348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康复医学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349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推拿（按摩）学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350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中医针灸学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351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病理学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352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临床医学检验学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353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口腔医学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354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口腔内科学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355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口腔颌面外科学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356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口腔修复学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357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口腔正畸学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358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疼痛学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359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重症医学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360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计划生育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361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疾病控制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362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公共卫生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363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职业卫生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364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妇幼保健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365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健康教育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366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药学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367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中药学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368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护理学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369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内科护理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370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外科护理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371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妇产科护理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372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儿科护理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373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社区护理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374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中医护理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375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口腔医学技术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376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放射医学技术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377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核医学技术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378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超声波医学技术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379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临床医学检验技术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380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病理学技术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381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康复医学治疗技术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382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营养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383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理化检验技术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384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微生物检验技术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385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消毒技术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386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心理治疗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387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心电学技术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388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肿瘤放射治疗技术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389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病案信息技术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390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输血技术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391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神经电生理（脑电图）技术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392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 w:firstLine="320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急诊医学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4" w:beforeAutospacing="0" w:after="204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人机对话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161AE"/>
    <w:rsid w:val="17521459"/>
    <w:rsid w:val="274161AE"/>
    <w:rsid w:val="413D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宋体" w:eastAsia="宋体" w:cs="Times New Roman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2020-01-02T02:57:00Z</dcterms:created>
  <dc:creator>薇子</dc:creator>
  <cp:lastModifiedBy>国超科技</cp:lastModifiedBy>
  <dcterms:modified xsi:type="dcterms:W3CDTF">2020-01-02T07:37:55Z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